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5562D" w14:textId="77777777" w:rsidR="00BE3B31" w:rsidRDefault="00812172">
      <w:pPr>
        <w:rPr>
          <w:rFonts w:ascii="Trebuchet MS" w:hAnsi="Trebuchet MS" w:cs="Trebuchet MS"/>
          <w:b/>
          <w:bCs/>
          <w:sz w:val="38"/>
          <w:szCs w:val="38"/>
          <w:lang w:val="fr-FR"/>
        </w:rPr>
      </w:pPr>
      <w:bookmarkStart w:id="0" w:name="_GoBack"/>
      <w:bookmarkEnd w:id="0"/>
      <w:r>
        <w:rPr>
          <w:rFonts w:ascii="Trebuchet MS" w:hAnsi="Trebuchet MS" w:cs="Trebuchet MS"/>
          <w:b/>
          <w:bCs/>
          <w:sz w:val="38"/>
          <w:szCs w:val="38"/>
          <w:lang w:val="fr-FR"/>
        </w:rPr>
        <w:t>Les processus métacognitifs</w:t>
      </w:r>
    </w:p>
    <w:p w14:paraId="6567EE03" w14:textId="77777777" w:rsidR="00812172" w:rsidRDefault="00812172">
      <w:pPr>
        <w:rPr>
          <w:rFonts w:ascii="Trebuchet MS" w:hAnsi="Trebuchet MS" w:cs="Trebuchet MS"/>
          <w:b/>
          <w:bCs/>
          <w:sz w:val="38"/>
          <w:szCs w:val="38"/>
          <w:lang w:val="fr-FR"/>
        </w:rPr>
      </w:pPr>
      <w:proofErr w:type="gramStart"/>
      <w:r>
        <w:rPr>
          <w:rFonts w:ascii="Trebuchet MS" w:hAnsi="Trebuchet MS" w:cs="Trebuchet MS"/>
          <w:b/>
          <w:bCs/>
          <w:sz w:val="38"/>
          <w:szCs w:val="38"/>
          <w:lang w:val="fr-FR"/>
        </w:rPr>
        <w:t>( ceux</w:t>
      </w:r>
      <w:proofErr w:type="gramEnd"/>
      <w:r>
        <w:rPr>
          <w:rFonts w:ascii="Trebuchet MS" w:hAnsi="Trebuchet MS" w:cs="Trebuchet MS"/>
          <w:b/>
          <w:bCs/>
          <w:sz w:val="38"/>
          <w:szCs w:val="38"/>
          <w:lang w:val="fr-FR"/>
        </w:rPr>
        <w:t>-ci ne sont pas mesurer dans nos tests !)</w:t>
      </w:r>
    </w:p>
    <w:p w14:paraId="5F22D7FB" w14:textId="77777777" w:rsidR="00812172" w:rsidRDefault="00812172">
      <w:pPr>
        <w:rPr>
          <w:rFonts w:ascii="Trebuchet MS" w:hAnsi="Trebuchet MS" w:cs="Trebuchet MS"/>
          <w:b/>
          <w:bCs/>
          <w:sz w:val="38"/>
          <w:szCs w:val="38"/>
          <w:lang w:val="fr-FR"/>
        </w:rPr>
      </w:pPr>
    </w:p>
    <w:p w14:paraId="56C4B1CB" w14:textId="77777777" w:rsidR="00812172" w:rsidRDefault="00812172" w:rsidP="00812172">
      <w:pPr>
        <w:widowControl w:val="0"/>
        <w:autoSpaceDE w:val="0"/>
        <w:autoSpaceDN w:val="0"/>
        <w:adjustRightInd w:val="0"/>
        <w:spacing w:after="240"/>
        <w:rPr>
          <w:rFonts w:ascii="Times" w:hAnsi="Times" w:cs="Times"/>
          <w:lang w:val="fr-FR"/>
        </w:rPr>
      </w:pPr>
      <w:r>
        <w:rPr>
          <w:rFonts w:ascii="Times" w:hAnsi="Times" w:cs="Times"/>
          <w:i/>
          <w:iCs/>
          <w:sz w:val="32"/>
          <w:szCs w:val="32"/>
          <w:lang w:val="fr-FR"/>
        </w:rPr>
        <w:t xml:space="preserve">La cognition </w:t>
      </w:r>
      <w:r>
        <w:rPr>
          <w:rFonts w:ascii="Times New Roman" w:hAnsi="Times New Roman" w:cs="Times New Roman"/>
          <w:sz w:val="32"/>
          <w:szCs w:val="32"/>
          <w:lang w:val="fr-FR"/>
        </w:rPr>
        <w:t xml:space="preserve">se caractérise par la compréhension, la mémorisation et le traitement de l'information. </w:t>
      </w:r>
      <w:r>
        <w:rPr>
          <w:rFonts w:ascii="Times" w:hAnsi="Times" w:cs="Times"/>
          <w:i/>
          <w:iCs/>
          <w:sz w:val="32"/>
          <w:szCs w:val="32"/>
          <w:lang w:val="fr-FR"/>
        </w:rPr>
        <w:t xml:space="preserve">La métacognition </w:t>
      </w:r>
      <w:r>
        <w:rPr>
          <w:rFonts w:ascii="Times New Roman" w:hAnsi="Times New Roman" w:cs="Times New Roman"/>
          <w:sz w:val="32"/>
          <w:szCs w:val="32"/>
          <w:lang w:val="fr-FR"/>
        </w:rPr>
        <w:t>fait référence à la connaissance que quelqu'un possède sur son fonctionnement cognitif et à ses tentatives pour contrôler ce processus.</w:t>
      </w:r>
    </w:p>
    <w:p w14:paraId="52E58B04" w14:textId="77777777" w:rsidR="00812172" w:rsidRDefault="00812172" w:rsidP="00812172">
      <w:pPr>
        <w:widowControl w:val="0"/>
        <w:autoSpaceDE w:val="0"/>
        <w:autoSpaceDN w:val="0"/>
        <w:adjustRightInd w:val="0"/>
        <w:spacing w:after="240"/>
        <w:rPr>
          <w:rFonts w:ascii="Times" w:hAnsi="Times" w:cs="Times"/>
          <w:lang w:val="fr-FR"/>
        </w:rPr>
      </w:pPr>
      <w:r>
        <w:rPr>
          <w:rFonts w:ascii="Times" w:hAnsi="Times" w:cs="Times"/>
          <w:b/>
          <w:bCs/>
          <w:sz w:val="32"/>
          <w:szCs w:val="32"/>
          <w:lang w:val="fr-FR"/>
        </w:rPr>
        <w:t xml:space="preserve">L'autoévaluation: </w:t>
      </w:r>
      <w:r>
        <w:rPr>
          <w:rFonts w:ascii="Times New Roman" w:hAnsi="Times New Roman" w:cs="Times New Roman"/>
          <w:sz w:val="32"/>
          <w:szCs w:val="32"/>
          <w:lang w:val="fr-FR"/>
        </w:rPr>
        <w:t>Le lecteur doit être conscient de ses ressources et de ses limites cognitives, de ses intérêts, de sa motivation, des exigences de la tâche mais aussi des stratégies utiles pour résoudre un problème de lecture : en cas de perte de compréhension à quel moment faut- il revenir en arrière ou continuer sa lecture ou bien demander de l'aide ?</w:t>
      </w:r>
    </w:p>
    <w:p w14:paraId="4B13033A" w14:textId="77777777" w:rsidR="00812172" w:rsidRDefault="00812172" w:rsidP="00812172">
      <w:pPr>
        <w:widowControl w:val="0"/>
        <w:autoSpaceDE w:val="0"/>
        <w:autoSpaceDN w:val="0"/>
        <w:adjustRightInd w:val="0"/>
        <w:spacing w:after="240"/>
        <w:rPr>
          <w:rFonts w:ascii="Times" w:hAnsi="Times" w:cs="Times"/>
          <w:lang w:val="fr-FR"/>
        </w:rPr>
      </w:pPr>
      <w:r>
        <w:rPr>
          <w:rFonts w:ascii="Times" w:hAnsi="Times" w:cs="Times"/>
          <w:b/>
          <w:bCs/>
          <w:sz w:val="32"/>
          <w:szCs w:val="32"/>
          <w:lang w:val="fr-FR"/>
        </w:rPr>
        <w:t xml:space="preserve">L'autorégulation </w:t>
      </w:r>
      <w:r>
        <w:rPr>
          <w:rFonts w:ascii="Times New Roman" w:hAnsi="Times New Roman" w:cs="Times New Roman"/>
          <w:sz w:val="32"/>
          <w:szCs w:val="32"/>
          <w:lang w:val="fr-FR"/>
        </w:rPr>
        <w:t xml:space="preserve">: Le lecteur doit savoir </w:t>
      </w:r>
      <w:r>
        <w:rPr>
          <w:rFonts w:ascii="Times" w:hAnsi="Times" w:cs="Times"/>
          <w:b/>
          <w:bCs/>
          <w:sz w:val="32"/>
          <w:szCs w:val="32"/>
          <w:lang w:val="fr-FR"/>
        </w:rPr>
        <w:t xml:space="preserve">quand </w:t>
      </w:r>
      <w:r>
        <w:rPr>
          <w:rFonts w:ascii="Times New Roman" w:hAnsi="Times New Roman" w:cs="Times New Roman"/>
          <w:sz w:val="32"/>
          <w:szCs w:val="32"/>
          <w:lang w:val="fr-FR"/>
        </w:rPr>
        <w:t xml:space="preserve">il comprend et </w:t>
      </w:r>
      <w:r>
        <w:rPr>
          <w:rFonts w:ascii="Times" w:hAnsi="Times" w:cs="Times"/>
          <w:b/>
          <w:bCs/>
          <w:sz w:val="32"/>
          <w:szCs w:val="32"/>
          <w:lang w:val="fr-FR"/>
        </w:rPr>
        <w:t xml:space="preserve">quand </w:t>
      </w:r>
      <w:r>
        <w:rPr>
          <w:rFonts w:ascii="Times New Roman" w:hAnsi="Times New Roman" w:cs="Times New Roman"/>
          <w:sz w:val="32"/>
          <w:szCs w:val="32"/>
          <w:lang w:val="fr-FR"/>
        </w:rPr>
        <w:t xml:space="preserve">il ne comprend pas, savoir </w:t>
      </w:r>
      <w:r>
        <w:rPr>
          <w:rFonts w:ascii="Times" w:hAnsi="Times" w:cs="Times"/>
          <w:b/>
          <w:bCs/>
          <w:sz w:val="32"/>
          <w:szCs w:val="32"/>
          <w:lang w:val="fr-FR"/>
        </w:rPr>
        <w:t xml:space="preserve">ce qu'il </w:t>
      </w:r>
      <w:r>
        <w:rPr>
          <w:rFonts w:ascii="Times New Roman" w:hAnsi="Times New Roman" w:cs="Times New Roman"/>
          <w:sz w:val="32"/>
          <w:szCs w:val="32"/>
          <w:lang w:val="fr-FR"/>
        </w:rPr>
        <w:t xml:space="preserve">comprend et </w:t>
      </w:r>
      <w:r>
        <w:rPr>
          <w:rFonts w:ascii="Times" w:hAnsi="Times" w:cs="Times"/>
          <w:b/>
          <w:bCs/>
          <w:sz w:val="32"/>
          <w:szCs w:val="32"/>
          <w:lang w:val="fr-FR"/>
        </w:rPr>
        <w:t xml:space="preserve">ce qu'il </w:t>
      </w:r>
      <w:r>
        <w:rPr>
          <w:rFonts w:ascii="Times New Roman" w:hAnsi="Times New Roman" w:cs="Times New Roman"/>
          <w:sz w:val="32"/>
          <w:szCs w:val="32"/>
          <w:lang w:val="fr-FR"/>
        </w:rPr>
        <w:t xml:space="preserve">ne comprend pas, </w:t>
      </w:r>
      <w:r>
        <w:rPr>
          <w:rFonts w:ascii="Times" w:hAnsi="Times" w:cs="Times"/>
          <w:b/>
          <w:bCs/>
          <w:sz w:val="32"/>
          <w:szCs w:val="32"/>
          <w:lang w:val="fr-FR"/>
        </w:rPr>
        <w:t xml:space="preserve">ce dont il a besoin </w:t>
      </w:r>
      <w:r>
        <w:rPr>
          <w:rFonts w:ascii="Times New Roman" w:hAnsi="Times New Roman" w:cs="Times New Roman"/>
          <w:sz w:val="32"/>
          <w:szCs w:val="32"/>
          <w:lang w:val="fr-FR"/>
        </w:rPr>
        <w:t xml:space="preserve">pour comprendre, </w:t>
      </w:r>
      <w:r>
        <w:rPr>
          <w:rFonts w:ascii="Times" w:hAnsi="Times" w:cs="Times"/>
          <w:b/>
          <w:bCs/>
          <w:sz w:val="32"/>
          <w:szCs w:val="32"/>
          <w:lang w:val="fr-FR"/>
        </w:rPr>
        <w:t xml:space="preserve">savoir qu'il peut essayer </w:t>
      </w:r>
      <w:r>
        <w:rPr>
          <w:rFonts w:ascii="Times New Roman" w:hAnsi="Times New Roman" w:cs="Times New Roman"/>
          <w:sz w:val="32"/>
          <w:szCs w:val="32"/>
          <w:lang w:val="fr-FR"/>
        </w:rPr>
        <w:t>une autre stratégie pour comprendre.</w:t>
      </w:r>
    </w:p>
    <w:p w14:paraId="336F9BB1" w14:textId="77777777" w:rsidR="00812172" w:rsidRDefault="00812172" w:rsidP="00812172">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Les processus métacognitifs permettent au lecteur de « rester en contact » avec le texte. Même s'ils n'atteignent pas leur pleine maturité à l'école primaire ils peuvent commencer à être enseigner particulièrement au cycle 3. </w:t>
      </w:r>
      <w:r>
        <w:rPr>
          <w:rFonts w:ascii="Times New Roman" w:hAnsi="Times New Roman" w:cs="Times New Roman"/>
          <w:i/>
          <w:iCs/>
          <w:color w:val="F80000"/>
          <w:sz w:val="32"/>
          <w:szCs w:val="32"/>
          <w:lang w:val="fr-FR"/>
        </w:rPr>
        <w:t>→</w:t>
      </w:r>
      <w:r w:rsidR="007D4EB6">
        <w:rPr>
          <w:rFonts w:ascii="Times" w:hAnsi="Times" w:cs="Times"/>
          <w:i/>
          <w:iCs/>
          <w:color w:val="F80000"/>
          <w:sz w:val="32"/>
          <w:szCs w:val="32"/>
          <w:lang w:val="fr-FR"/>
        </w:rPr>
        <w:t xml:space="preserve"> Fiche pratique n° 12</w:t>
      </w:r>
      <w:r>
        <w:rPr>
          <w:rFonts w:ascii="Times" w:hAnsi="Times" w:cs="Times"/>
          <w:i/>
          <w:iCs/>
          <w:color w:val="F80000"/>
          <w:sz w:val="32"/>
          <w:szCs w:val="32"/>
          <w:lang w:val="fr-FR"/>
        </w:rPr>
        <w:t>: « Débuter l'enseignement de la métacognition »</w:t>
      </w:r>
    </w:p>
    <w:p w14:paraId="5BB4A40D" w14:textId="77777777" w:rsidR="00812172" w:rsidRDefault="00812172"/>
    <w:sectPr w:rsidR="00812172" w:rsidSect="00BE3B3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172"/>
    <w:rsid w:val="002B118A"/>
    <w:rsid w:val="007D4EB6"/>
    <w:rsid w:val="00812172"/>
    <w:rsid w:val="00BE3B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66C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1041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école</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Centre Saint-Paul</dc:creator>
  <cp:lastModifiedBy>CSDM</cp:lastModifiedBy>
  <cp:revision>2</cp:revision>
  <dcterms:created xsi:type="dcterms:W3CDTF">2015-05-20T15:20:00Z</dcterms:created>
  <dcterms:modified xsi:type="dcterms:W3CDTF">2015-05-20T15:20:00Z</dcterms:modified>
</cp:coreProperties>
</file>